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693F">
        <w:rPr>
          <w:rFonts w:ascii="Times New Roman" w:hAnsi="Times New Roman" w:cs="Times New Roman"/>
          <w:b/>
          <w:bCs/>
          <w:sz w:val="26"/>
          <w:szCs w:val="26"/>
          <w:lang w:val="en-US"/>
        </w:rPr>
        <w:t>Tax Treaty Issues Not Covered in Domestic Law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A number of provisions found in tax treaties are not usually reflected in domestic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law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This section briefly describes these provisions, together with their effect on domestic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law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specifically nondiscrimination, exchange of information and assistance in collection,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mutual agreement procedure.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b/>
          <w:bCs/>
          <w:sz w:val="26"/>
          <w:szCs w:val="26"/>
          <w:lang w:val="en-US"/>
        </w:rPr>
        <w:t>A. Nondiscrimination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nondiscrimination article of tax treaties is designed to ensure that foreign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investors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a country are not discriminated against by the tax system compared with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domestic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investors. The OECD Model nondiscrimination provision is narrower, however,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than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similar provisions found in other areas of international law, such as trade. This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difference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 necessary because the international tax system operates on the residence and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source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principles and so necessarily distinguishes the tax position of residents and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nonresidents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Hence, it is not usually regarded as discriminatory to collect flat-rate gross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withholding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taxes from a resident of the other state without a permanent establishment</w:t>
      </w:r>
    </w:p>
    <w:p w:rsidR="00C07C2E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when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resident is taxed on the same income on a net assessment basis.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148</w:t>
      </w:r>
      <w:r w:rsidRPr="0076693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See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OECD, Taxation and Foreign Direct Investment: The Experiences of the Economies in Transition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(1995), especially the discussion of Latvia in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pt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II.</w:t>
      </w:r>
      <w:proofErr w:type="gram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first paragraph of the nondiscrimination article in the OECD Model provides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against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discrimination on the basis of nationality, but makes it clear that distinctions 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basis of residence will not be regarded as giving rise to nationality discrimination (in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areas, such as EU law, residence distinctions can amount to nationality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discrimination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).149 Hence, to breach this provision it is necessary for a country to treat a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resident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who is a national of the other state less favorably in the levy of tax or procedural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requirements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than a resident national, or a nonresident national of the other state less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favorably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than a nonresident national. Such forms of discrimination are rare in domestic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laws.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The second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OECD nondiscrimination article applies a similar rule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stateless persons; this provision rarely appears in actual tax treaties.150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The third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nondiscrimination article in the OECD Model requires that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permanent establishment of a resident of the other state shall not be less favorably taxed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than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enterprises of residents carrying on the same activities. This is the most important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provision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the article in practice and, combined with the other articles of the Model,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especially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business profits article, means that the profits attributable to a permanent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establishment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have to be taxed on a net basis151 and that the permanent establishment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must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otherwise be taxed under the same rules as domestic enterprises. The article deals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with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amount of tax liability and not connected requirements so that it is possible, for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example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to apply withholding taxes on income derived by a permanent establishment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nonresident even though such taxes are not applied to a domestic enterprise, so long as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ultimate tax is on a net basis (i.e., any withholding taxes are not final, are credited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against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ultimate tax liability, and are refunded if there is an excess). If withholding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are applied to income derived by domestic enterprises, there is no question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breach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the nondiscrimination article in applying them to nonresidents, but even if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are final for a resident enterprise, they cannot be for a permanent establishment of a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nonresident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because of the requirement of the business profits article that taxation be on a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lastRenderedPageBreak/>
        <w:t>net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basis.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The exact extent of the nondiscrimination obligation under this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not clear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all cases, especially as regards application of progressive rate scales to companies, tax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relief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for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intercorporate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dividends, and the granting of foreign tax credits to permanent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establishments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for any foreign tax levied on income attributable to the permanent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establishment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The Commentary to the OECD Model contains a lengthy discussion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these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issues.152 The second sentence of the third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make clear that it is not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necessary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grant personal allowances to a nonresident individual carrying on business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through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permanent establishment (this sentence often appears as a separate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actual treaties).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Thin capitalization rules that are applied to a permanent establishment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borrowing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from related parties but are not applied to resident enterprises may be contrary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paragraph, depending on how the rules are framed. The example of thin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capitalization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rules given above will not be contrary to nondiscrimination rules because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apply to all enterprises. Branch profits taxes may be contrary to the terms of this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paragraph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so that its terms need modification if a country wishes to levy a branch profits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93F">
        <w:rPr>
          <w:rFonts w:ascii="Times New Roman" w:hAnsi="Times New Roman" w:cs="Times New Roman"/>
          <w:sz w:val="26"/>
          <w:szCs w:val="26"/>
        </w:rPr>
        <w:t>tax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>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149</w:t>
      </w:r>
      <w:r w:rsidRPr="0076693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See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Terra &amp;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Wattel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>, European Tax Law ¶¶ 3.2.1, 3.2.3.1, 3.2.3.2 (1993).</w:t>
      </w:r>
      <w:proofErr w:type="gram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150In the 1977 OECD Model and in the UN Model, the second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definition of national; this now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appears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the definition article of the 1992 OECD Model.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151This requirement may have implications for certain forms of presumptive taxation that imposes a tax lien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absence of net income. </w:t>
      </w:r>
      <w:proofErr w:type="spellStart"/>
      <w:r w:rsidRPr="0076693F">
        <w:rPr>
          <w:rFonts w:ascii="Times New Roman" w:hAnsi="Times New Roman" w:cs="Times New Roman"/>
          <w:i/>
          <w:iCs/>
          <w:sz w:val="26"/>
          <w:szCs w:val="26"/>
        </w:rPr>
        <w:t>See</w:t>
      </w:r>
      <w:proofErr w:type="spellEnd"/>
      <w:r w:rsidRPr="0076693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vol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. 1,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>. 12.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</w:rPr>
      </w:pPr>
      <w:r w:rsidRPr="0076693F">
        <w:rPr>
          <w:rFonts w:ascii="Times New Roman" w:hAnsi="Times New Roman" w:cs="Times New Roman"/>
          <w:sz w:val="26"/>
          <w:szCs w:val="26"/>
        </w:rPr>
        <w:t xml:space="preserve">152Commentary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art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>. 24 ¶¶ 19–54.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fourth and fifth paragraphs of the OECD nondiscrimination article ensure that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resident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enterprises whose capital is wholly or partly owned or controlled by a resident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other state are not subject to discrimination. The fourth paragraph refers specifically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deductions for interest, royalties, and other disbursements and makes clear that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deductions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can be denied through the application of the arm’s-length principle by way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exception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the requirement for the same treatment. If a developing or transition country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adopts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rule denying deductions for payments to tax havens, the rule will generally be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overridden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by the fourth paragraph if a tax treaty is in effect with the tax haven. Hence,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caution above about negotiating tax treaties with tax havens. The fourth paragraph is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more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general, preventing heavier or different taxation or connected requirements than for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similar enterprises. While it can cover the same ground in part as the fourth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paragraph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the fifth is more specific and therefore prevails in the event of overlap. Thin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capitalization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can be an issue under the fourth paragraph, but not if the rules are applied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generally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all enterprises. The fifth paragraph would prevent, for example, a local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subsidiary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a parent in the other state from being subjected to a higher tax rate than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companies.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final paragraph in the OECD Model provides that, unlike the other provisions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tax treaty, the nondiscrimination article applies to all taxes levied by a state.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This</w:t>
      </w:r>
      <w:proofErr w:type="spell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provision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 often omitted from actual tax treaties or altered to make clear that it applies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only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taxes covered by the treaty (which it is not strictly necessary to state).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Because tax treaties are enacted in one way or another as part of domestic law and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prevail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over other taxing provisions, the nondiscrimination provision is self-executing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lastRenderedPageBreak/>
        <w:t>and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overrides domestic rules that conflict with it. Because of the general terms of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nondiscrimination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article, it is necessary to be aware of its operation when drafting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domestic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rules. There is generally little point in devising domestic rules that are contrary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nondiscrimination rules, except in the case of tax haven provisions.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nationality paragraph aside, at first sight the nondiscrimination article seems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have a residence state bias because its provisions operate effectively only on the source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state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(where the permanent establishment or subsidiary operates). This view is not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accurate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if the structure of tax treaties is looked at broadly. It was noted above that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foreign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 credit system in particular may create an incentive for the source country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increase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its taxation on nonresidents (or subsidiaries of foreign parent companies) up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level of tax in the residence country. While tax treaties impose rate limits on source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or exclude source taxation altogether in some cases, for income of a permanent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establishment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or a subsidiary there are no such limits. Hence, the nondiscrimination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article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ensures that source countries do not target higher taxes to these cases and prey 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relief system of the residence country.153 The equivalent undertaking of the residence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country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 in its treaty obligation to relieve double taxation for source taxes levied 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accordance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with the treaty. The residence country could not satisfy its obligations under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this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paragraph by levying tax rates on foreign investment that are higher than those 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domestic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investment and then purporting to relieve double taxation through a tax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credit.154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nondiscrimination article does not prevent a country from discriminating in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favor of nonresidents (as with tax holidays or other incentives that apply only to foreign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investors). Nor does the article prohibit provisions in the domestic law that favor the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location of investment in the country; for example, a country can have special tax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incentives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for research and development conducted in the country or for plant and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equipment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used in the country, as long as these locational incentives are not confined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residents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or locally owned companies.</w:t>
      </w:r>
    </w:p>
    <w:p w:rsid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b/>
          <w:bCs/>
          <w:sz w:val="26"/>
          <w:szCs w:val="26"/>
          <w:lang w:val="en-US"/>
        </w:rPr>
        <w:t>B. Exchange of Information and Assistance in Collection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Most countries have a domestic law rule that they will not directly or indirectly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assist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another country in the collection of its taxes.155 This rule means that exchange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information and other forms of assistance in collection of taxes are not possible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without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tax treaty that overrides this rule in domestic law. The tax secrecy rules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many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countries also prevent the exchange of information. Exchange-of-information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provisions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are found in virtually all tax treaties, but other forms of assistance are less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commonly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provided for.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standard OECD and UN Model exchange-of-information article requires a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country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obtain information for its treaty partner where the information is necessary for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carrying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out the provisions of the treaty or of the country’s domestic tax law. Exchanged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information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 required to be kept secret in accordance with the secrecy rules of domestic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law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the recipient country and in accordance with the express treaty rules on this topic.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In addition, the standard treaty article provides that information need not be exchanged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when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it involves commercial or trade secrets. Tax secrecy is often not as strong an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developing or transition countries as it is in industrial countries and so can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be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very sensitive topic in tax relations between treaty partners. It is implicit in the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exchange-of-information article, however, that a country cannot refuse to give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lastRenderedPageBreak/>
        <w:t>information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its treaty partner because of its own tax secrecy laws.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153Even in the absence of a treaty, this tactic may not be effective if the resident country denies a credit for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so-called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soak-up taxes, as does the United States, for example. </w:t>
      </w:r>
      <w:r w:rsidRPr="0076693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See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Treas. Reg. § 1.901–2 (c).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154This is implicitly recognized in the paragraph in the OECD Model allowing the residence country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apply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exemption with progression to income, which it relieves from double taxation by exemption, arts.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23A(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3), 23B(2). Exemption with progression takes the foreign income that has been exempted into account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determining the tax payable on domestic income. Usually an average rate of tax is worked out on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assumption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that all the foreign and domestic income of the resident is subject to tax and this rate is then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applied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the domestic income of the resident.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155This rule is not found in the tax laws of the country but in the rules of private international law (conflict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laws). Thus, in common law countries, it is simply part of the common law (</w:t>
      </w:r>
      <w:r w:rsidRPr="0076693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see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Government of India v.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Taylor [1955] AC 491).</w:t>
      </w:r>
      <w:proofErr w:type="gram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exchange-of-information article also serves as a test of the lowest common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denominator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for procedures of collecting information. Information need not be collected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it could not be obtained under the procedures of either country. For example,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information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being sought may be kept at the home of a taxpayer. If the tax procedure law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either treaty country forbids entry of domestic (as opposed to commercial) premises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obtain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information, then there is no obligation to obtain the information. If, however,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impediment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arises under the law of the country making the request and if the country that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has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received the request for such information is able to obtain the information under its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laws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that country may (but is not obliged to) forward the information to the other country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under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exchange-of-information article.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Unlike other articles of tax treaties, the exchange of information article is not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limited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application to residents of the treaty partners. For example, one country could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request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other to obtain information from a permanent establishment in that state of a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resident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a third state. Although the Models do not so provide, information is being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increasingly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extended to taxes other than income taxes for the practical reason that many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countries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use the same tax officials to enforce a number of different taxes (e.g., income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and value-added tax), and it is difficult for an official who has received foreign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information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use it only in relation to one tax when it is relevant to several taxes.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OECD provides considerable practical guidance on exchange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information.156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use of computers in tax administration is spilling over into this area,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sophistication of the exchange process has increased rapidly. The OECD has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developed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standard computer format for exchange of information.157 In recent years, the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exchange article has given rise to some novel extensions of its use, such as for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simultaneous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audits of the same or related taxpayers by each party to a treaty (and even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lastRenderedPageBreak/>
        <w:t>by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more than two countries through the use of exchange provisions in a number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treaties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). The OECD has developed a model agreement for tax administrations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formalize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process.158 Whether developing or transition countries will be able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participate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these recent developments will depend on their level of computerization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audit capacity.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In addition, provisions for assistance in collection are increasingly being included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 treaties. Under these provisions, each country undertakes to collect the taxes of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As no OECD or UN Model provision currently exists for this purpose, the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following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text is provided as a sample.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Article 27.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Assistance in Collection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1. The competent authorities of the Contracting States undertake to lend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assistance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each other in the collection of taxes, together with interest, costs, and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civil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penalties relating to such taxes, referred to in this article as a “revenue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claim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.”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2. Requests for assistance by the competent authority of a Contracting State in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collection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a revenue claim shall include a certification by such authority that,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under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laws of that State, the revenue claim has been finally determined. For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purposes of this article, a revenue claim is finally determined when a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Contracting State has the right under its internal law to collect the revenue claim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taxpayer has no further rights to restrain collection.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3. A revenue claim of a Contracting State that has been accepted for collection by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competent authority of the other Contracting State shall be collected by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other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State as though such claim were the other State’s own revenue claim as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finally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determined in accordance with the provisions of its laws relating to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collection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its taxes.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4. Amounts collected by the competent authority of a Contracting State pursuant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this article shall be forwarded to the competent authority of the other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Contracting State.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However, except where the competent authorities of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Contracting States otherwise agree, the ordinary costs incurred in providing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collection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assistance shall be borne by the first-mentioned State, and any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extraordinary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costs so incurred shall be borne by the other State.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5. No assistance shall be provided under this article for a revenue claim of a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Contracting State in respect of a taxpayer to the extent that the revenue claim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relates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a period during which the taxpayer was a resident of the other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Contracting State.</w:t>
      </w:r>
      <w:proofErr w:type="gram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6. Nothing in this article shall be construed as imposing on either Contracting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State the obligation to carry out administrative measures of a different nature from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those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used in the collection of its own taxes or that would be contrary to its public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policy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76693F">
        <w:rPr>
          <w:rFonts w:ascii="Times New Roman" w:hAnsi="Times New Roman" w:cs="Times New Roman"/>
          <w:i/>
          <w:iCs/>
          <w:sz w:val="26"/>
          <w:szCs w:val="26"/>
          <w:lang w:val="en-US"/>
        </w:rPr>
        <w:t>ordre</w:t>
      </w:r>
      <w:proofErr w:type="spellEnd"/>
      <w:r w:rsidRPr="0076693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public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7. Notwithstanding the provisions of article 2 (Taxes Covered), the provisions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this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article shall apply to all taxes collected by or on behalf of the Government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Contracting State.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Whether the last paragraph is included will depend in part on a similar extension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being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made to the exchange article. On the grounds of administrative capacity,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developing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and transition countries may not consider such an article appropriate to their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circumstances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(and, equally, industrial countries may not be willing to agree with them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this article). More elaborate stand-alone treaties dealing with tax administration have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lastRenderedPageBreak/>
        <w:t>been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developed, and the Multilateral Treaty on Mutual Administrative Assistance, which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covers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exchange of information, service of documents, and assistance in collection is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open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for signature to those countries that join the Council of Europe or the OECD.159 It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entered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into force on April 1, 1995.</w:t>
      </w:r>
    </w:p>
    <w:p w:rsid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b/>
          <w:bCs/>
          <w:sz w:val="26"/>
          <w:szCs w:val="26"/>
          <w:lang w:val="en-US"/>
        </w:rPr>
        <w:t>C. Mutual Agreement Procedure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final provision of tax treaties that requires comment is the article on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mutual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agreement procedure. Under the Model versions, this article performs three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functions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: it provides a dispute resolution mechanism in relation to the application of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provisions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tax treaties to specific cases; it allows the countries to settle common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interpretations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and applications of their tax treaty; and it allows them to resolve cases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double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taxation not otherwise dealt with by their treaty. Some countries find that the third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function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and often the second are difficult to reconcile with their domestic laws and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procedures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and therefore omit them from their treaties. In practice, it is dispute resolution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for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specific case that predominates, whatever the precise form of the article.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ground on which the taxpayer can invoke this procedure is that the actions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one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the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states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result or will result in taxation not in accordance with the treaty.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taxpayer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has three years to invoke the procedure from the first notification of the act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complained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of. The states are obliged under the article to consult on the problem raised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by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taxpayer if the state with which the problem is raised is unable or unwilling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resolve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it unilaterally, but they are not obliged to resolve the case. If a resolution is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agreed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by the states, then under the Models it is to be implemented notwithstanding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domestic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time limits on amending tax assessments. Some countries are unwilling to agree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such overriding of domestic time limits in their tax treaties.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No specific procedure is provided, but it is made clear that the tax administrations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can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make contact directly and do not need to go through diplomatic channels. The major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issue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that arises in practice is the relationship between domestic appeal procedures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provided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for in tax laws and the treaty dispute resolution mechanism. To avoid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competition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or conflict between domestic appeals and the mutual agreement procedure,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some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countries provide in their tax laws or procedures that the taxpayer must waive 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suspend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appeal rights under domestic law, while other countries will not actively pursue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competent authority procedure until domestic appeal periods have expired and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taxpayer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has not utilized them.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mutual agreement procedure has also been the subject of novel uses in recent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times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The main development concerns advance pricing arrangements under which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mutual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agreement procedure is used to agree to a transfer price in advance, so that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taxpayers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and tax administration are spared disputes after the event. This is a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sophisticated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procedure that for the moment is probably only relevant to industrial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countries.160 Taxpayer dissatisfaction with the mutual agreement procedure has led some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countries to adopt arbitration procedures in their tax treaties for cases where it is not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possible for the competent authorities to resolve disputes. The main purpose of such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provisions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 to put pressure on the tax administration to resolve international disputes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rather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than to actually engage in arbitrations.161</w:t>
      </w:r>
    </w:p>
    <w:p w:rsid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IX. International Tax Priorities for Developing and Transition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b/>
          <w:bCs/>
          <w:sz w:val="26"/>
          <w:szCs w:val="26"/>
          <w:lang w:val="en-US"/>
        </w:rPr>
        <w:t>Countries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It will be evident from this chapter that the construction of the international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elements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the income tax system in domestic law and tax treaties is a complex topic.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Among developing and transition countries (as among industrial countries), there will be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wide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differences in the capability of the tax administration to deal with international tax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issues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While priorities will vary from one country to another, this concluding part of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chapter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indicates a line of development that should suit many developing and transition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countries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priority of any tax system will always be to tax the domestic income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resident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taxpayers.162 With the increasing internationalization of economic relations,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however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even this goal means that attention must be given to international income tax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issues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For better or worse, the globalization of the world economy impinges 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developing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and transition countries, and it is not possible for a country to isolate itself or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 system. The interdependence of market economies is a new phenomenon, and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transition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countries in particular retain a residual belief in the ability of regulation to deal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with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problems. In some developing countries also, the capacity of economic regulation 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current economic environment is overrated. Developing and transition countries face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similar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problems of international taxation as industrial countries, which means that,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whatever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may have been the case in the past, it is not possible to adopt the attitude that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international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issues can wait.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incentives for capital flight are strong in developing and transition countries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even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apart from the tax system. If a country operates the source principle only, then it is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necessary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have robust rules for the source of income to ensure that the source-based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 not avoided. Even with such rules, there will be a strong incentive for residents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move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income offshore in order to avoid taxation, which will be a relatively simple matter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693F">
        <w:rPr>
          <w:rFonts w:ascii="Times New Roman" w:hAnsi="Times New Roman" w:cs="Times New Roman"/>
          <w:sz w:val="26"/>
          <w:szCs w:val="26"/>
          <w:lang w:val="en-US"/>
        </w:rPr>
        <w:t>for passive portfolio income (by investment choice). The residence principle should be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adopted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prevent this form of tax avoidance. Once the residence principle is adopted,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measures for the relief of double taxation by way of exemption or a simple foreign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credit are also necessary. At this point of development, the country has satisfied the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basic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norms for international tax rules on which tax treaties depend.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160OECD, Transfer Pricing Guidelines ¶¶ 4.124–4.166.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the medium term, Advanced Pricing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Agreementss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(APAs) developed by advanced countries may help to solve the difficulties for developing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transition countries in enforcing transfer pricing rules.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161For a discussion of these issues, see OECD, Transfer Pricing Guidelines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paras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>. 4.167–4.171; the EU has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implemented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an arbitration procedure in transfer pricing cases, Convention of July 23, 1990, on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Elimination of Double Taxation in connection with the Adjustment of Profits of Associated Enterprises,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90/436/EEC, O.J. No.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C304 of December 21, 1976, 4.</w:t>
      </w:r>
      <w:proofErr w:type="gram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162With the possible exception of a few countries with small populations and large resource bases exploited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693F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foreign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investors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>.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The ability of residents, again by simple investment choice, to derive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foreignsource</w:t>
      </w:r>
      <w:proofErr w:type="spell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passive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income through nonresident taxpayers (such as offshore mutual funds)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indicates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that further measures are necessary even for the simple goal of protecting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domestic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 base in the case of residents not engaged in active businesses. A simple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provision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indicating an intention to levy tax in these cases, together with enforcement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efforts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directed at tax evasion using foreign bank accounts, is the best that can be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achieved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deal with the various kinds of capital flight.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Residents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involved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in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purely</w:t>
      </w:r>
      <w:proofErr w:type="spellEnd"/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domestic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business activities can also use the international tax system to avoid taxes. 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this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case, investments will be looped offshore and back into the country, creating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potential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for such techniques as transfer pricing, thin capitalization, and profit stripping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move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profits out of the country, usually to tax havens. The simplest approach for dealing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with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such problems is a brief provision levying tax on the resident owners of the offshore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entities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. Such provisions are necessary today simply to ensure collection of tax on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domestic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income of residents.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With provisions in place to secure the domestic tax base, probably the next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priority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should be tax treaties. These marginally increase the capacity to enforce taxation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of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domestic income of residents through exchange of information (although the use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havens for much of the offshore activity limits the effectiveness of tax treaties). Most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important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they signal to foreign investors the country’s intention to play by the generally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accepted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rules of international taxation and not to discriminate against foreign investors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while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leaving room (if negotiated in an appropriate form) to extend domestic taxes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foreign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investors. Except in the increasingly unusual case of a country deciding not to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pursue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negotiation of tax treaties, the contents of tax treaties overshadow the way 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 country should frame its tax laws for the taxation of foreign investors. It has been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suggested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throughout this chapter that the rules of tax treaties should generally be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followed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domestic law for greater transparency and simplicity in the application of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law where a tax treaty is operative.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Taxation of foreign investors in developing and transition countries is a politically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divisive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issue. On the one hand, there is a natural resentment against the economic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resources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a country being owned and exploited by foreigners. In the past, this attitude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contributed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 many developing countries to restrictions on foreign-owned operations. 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other hand, the need for foreign capital, technology, and management skills is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increasingly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felt as more and more countries compete for what is available, especially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since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transition countries have entered the picture. The result is policy and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administrative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ambivalence to taxation of foreign investment.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Many countries offer tax incentives for foreign direct investors.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While</w:t>
      </w:r>
      <w:proofErr w:type="spellEnd"/>
      <w:r w:rsidRPr="007669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693F">
        <w:rPr>
          <w:rFonts w:ascii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76693F">
        <w:rPr>
          <w:rFonts w:ascii="Times New Roman" w:hAnsi="Times New Roman" w:cs="Times New Roman"/>
          <w:sz w:val="26"/>
          <w:szCs w:val="26"/>
          <w:lang w:val="en-US"/>
        </w:rPr>
        <w:t>efficacy of these incentives in attracting increased foreign investment may be doubted,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attempt to tax foreign direct investors effectively involves formidable problems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drafting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law and administering it. The basic provisions for taxing nonresidents consist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generally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of withholding taxes on passive and employment income and collection by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assessment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on business income. The investment choices for portfolio foreign investors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the tax avoidance techniques available to the foreign direct investor mean that such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provisions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are not adequate and that rules in domestic law on transfer pricing, thin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capitalization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>, and tax havens are required. These will by no means cover the tax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avoidance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strategies available. A general </w:t>
      </w:r>
      <w:proofErr w:type="spell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antiavoidance</w:t>
      </w:r>
      <w:proofErr w:type="spell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provision or doctrine will assist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 administration to cope with international tax avoidance, but requires considerable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effort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to implement. In short, any serious attempt to collect tax from foreign direct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lastRenderedPageBreak/>
        <w:t>investors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 fraught with drafting and administrative difficulties, while taxation of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portfolio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investors may simply induce them to move their investment out of the country.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For these reasons, the taxation of foreign investors is probably the last international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taxation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issue that a developing or transition country should seriously tackle.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693F">
        <w:rPr>
          <w:rFonts w:ascii="Times New Roman" w:hAnsi="Times New Roman" w:cs="Times New Roman"/>
          <w:sz w:val="26"/>
          <w:szCs w:val="26"/>
          <w:lang w:val="en-US"/>
        </w:rPr>
        <w:t>The number and significance of the international tax problems that confront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income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 is one reason why developing and transition countries do well to rely on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alternative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 bases in addition to the income tax as a major source of tax revenue. The</w:t>
      </w:r>
    </w:p>
    <w:p w:rsidR="0076693F" w:rsidRPr="0076693F" w:rsidRDefault="0076693F" w:rsidP="00766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value-added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tax, excises, social security, and property taxes generally present fewer</w:t>
      </w:r>
    </w:p>
    <w:p w:rsidR="0076693F" w:rsidRPr="0076693F" w:rsidRDefault="0076693F" w:rsidP="0076693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693F">
        <w:rPr>
          <w:rFonts w:ascii="Times New Roman" w:hAnsi="Times New Roman" w:cs="Times New Roman"/>
          <w:sz w:val="26"/>
          <w:szCs w:val="26"/>
          <w:lang w:val="en-US"/>
        </w:rPr>
        <w:t>international</w:t>
      </w:r>
      <w:proofErr w:type="gramEnd"/>
      <w:r w:rsidRPr="0076693F">
        <w:rPr>
          <w:rFonts w:ascii="Times New Roman" w:hAnsi="Times New Roman" w:cs="Times New Roman"/>
          <w:sz w:val="26"/>
          <w:szCs w:val="26"/>
          <w:lang w:val="en-US"/>
        </w:rPr>
        <w:t xml:space="preserve"> difficulties of drafting and enforcement than the income tax.</w:t>
      </w:r>
    </w:p>
    <w:sectPr w:rsidR="0076693F" w:rsidRPr="0076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A3"/>
    <w:rsid w:val="006458A3"/>
    <w:rsid w:val="0076693F"/>
    <w:rsid w:val="00C0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4282</Words>
  <Characters>24409</Characters>
  <Application>Microsoft Office Word</Application>
  <DocSecurity>0</DocSecurity>
  <Lines>203</Lines>
  <Paragraphs>57</Paragraphs>
  <ScaleCrop>false</ScaleCrop>
  <Company/>
  <LinksUpToDate>false</LinksUpToDate>
  <CharactersWithSpaces>28634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Raigul</dc:creator>
  <cp:keywords/>
  <dc:description/>
  <cp:lastModifiedBy>Raigul</cp:lastModifiedBy>
  <cp:revision>2</cp:revision>
  <dcterms:created xsi:type="dcterms:W3CDTF">2022-10-11T08:52:00Z</dcterms:created>
  <dcterms:modified xsi:type="dcterms:W3CDTF">2022-10-11T08:57:00Z</dcterms:modified>
</cp:coreProperties>
</file>